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0020" w:rsidR="0041574B" w:rsidP="0041574B" w:rsidRDefault="0041574B" w14:paraId="437FA132" w14:textId="7CAFC74A">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XV</w:t>
      </w:r>
    </w:p>
    <w:p w:rsidR="0041574B" w:rsidP="0041574B" w:rsidRDefault="0041574B" w14:paraId="1257CF63" w14:textId="4A6C3E25">
      <w:pPr>
        <w:spacing w:line="276" w:lineRule="auto"/>
        <w:ind w:right="-1554"/>
        <w:jc w:val="center"/>
        <w:rPr>
          <w:rFonts w:ascii="Bookman Old Style" w:hAnsi="Bookman Old Style"/>
          <w:b/>
          <w:sz w:val="24"/>
          <w:szCs w:val="24"/>
        </w:rPr>
      </w:pPr>
      <w:r>
        <w:rPr>
          <w:rFonts w:ascii="Bookman Old Style" w:hAnsi="Bookman Old Style"/>
          <w:b/>
          <w:sz w:val="24"/>
          <w:szCs w:val="24"/>
        </w:rPr>
        <w:t>LAPORAN PERUBAHAN EKUITAS</w:t>
      </w:r>
    </w:p>
    <w:tbl>
      <w:tblPr>
        <w:tblStyle w:val="TableGrid"/>
        <w:tblW w:w="16444" w:type="dxa"/>
        <w:tblInd w:w="-289" w:type="dxa"/>
        <w:tblLayout w:type="fixed"/>
        <w:tblLook w:val="04A0" w:firstRow="1" w:lastRow="0" w:firstColumn="1" w:lastColumn="0" w:noHBand="0" w:noVBand="1"/>
      </w:tblPr>
      <w:tblGrid>
        <w:gridCol w:w="4111"/>
        <w:gridCol w:w="4560"/>
        <w:gridCol w:w="3662"/>
        <w:gridCol w:w="4111"/>
      </w:tblGrid>
      <w:tr w:rsidRPr="004D4705" w:rsidR="0041574B" w:rsidTr="61848B61" w14:paraId="383D82D7" w14:textId="77777777">
        <w:trPr>
          <w:tblHeader/>
          <w:trHeight w:val="660"/>
        </w:trPr>
        <w:tc>
          <w:tcPr>
            <w:tcW w:w="4111" w:type="dxa"/>
            <w:shd w:val="clear" w:color="auto" w:fill="C00000"/>
            <w:tcMar/>
          </w:tcPr>
          <w:p w:rsidRPr="004D4705" w:rsidR="0041574B" w:rsidP="00080818" w:rsidRDefault="0041574B" w14:paraId="4DBBC2BC" w14:textId="77777777">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4560" w:type="dxa"/>
            <w:shd w:val="clear" w:color="auto" w:fill="C00000"/>
            <w:tcMar/>
          </w:tcPr>
          <w:p w:rsidRPr="004D4705" w:rsidR="0041574B" w:rsidP="00080818" w:rsidRDefault="0041574B" w14:paraId="372A81DC" w14:textId="77777777">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3662" w:type="dxa"/>
            <w:shd w:val="clear" w:color="auto" w:fill="C00000"/>
            <w:tcMar/>
          </w:tcPr>
          <w:p w:rsidRPr="004D4705" w:rsidR="0041574B" w:rsidP="00080818" w:rsidRDefault="0041574B" w14:paraId="74C4AD69" w14:textId="77777777">
            <w:pPr>
              <w:spacing w:before="120" w:after="120" w:line="276" w:lineRule="auto"/>
              <w:jc w:val="center"/>
              <w:rPr>
                <w:rFonts w:ascii="Bookman Old Style" w:hAnsi="Bookman Old Style"/>
                <w:b/>
              </w:rPr>
            </w:pPr>
            <w:r w:rsidRPr="004D4705">
              <w:rPr>
                <w:rFonts w:ascii="Bookman Old Style" w:hAnsi="Bookman Old Style"/>
                <w:b/>
              </w:rPr>
              <w:t>Tanggapan</w:t>
            </w:r>
            <w:r>
              <w:rPr>
                <w:rFonts w:ascii="Bookman Old Style" w:hAnsi="Bookman Old Style"/>
                <w:b/>
              </w:rPr>
              <w:t>/Masukan</w:t>
            </w:r>
          </w:p>
        </w:tc>
        <w:tc>
          <w:tcPr>
            <w:tcW w:w="4111" w:type="dxa"/>
            <w:shd w:val="clear" w:color="auto" w:fill="C00000"/>
            <w:tcMar/>
          </w:tcPr>
          <w:p w:rsidR="4EBE5102" w:rsidP="61848B61" w:rsidRDefault="4EBE5102" w14:paraId="523E3B5D" w14:textId="4B18C9EE">
            <w:pPr>
              <w:spacing w:before="120" w:after="120" w:line="276" w:lineRule="auto"/>
              <w:jc w:val="center"/>
            </w:pPr>
            <w:r w:rsidRPr="61848B61" w:rsidR="4EBE5102">
              <w:rPr>
                <w:rFonts w:ascii="Bookman Old Style" w:hAnsi="Bookman Old Style"/>
                <w:b w:val="1"/>
                <w:bCs w:val="1"/>
              </w:rPr>
              <w:t>Usulan Perubahan</w:t>
            </w:r>
          </w:p>
          <w:p w:rsidR="61848B61" w:rsidP="61848B61" w:rsidRDefault="61848B61" w14:paraId="22B218D0" w14:textId="5AA55D99">
            <w:pPr>
              <w:pStyle w:val="Normal"/>
              <w:spacing w:line="276" w:lineRule="auto"/>
              <w:jc w:val="center"/>
              <w:rPr>
                <w:rFonts w:ascii="Bookman Old Style" w:hAnsi="Bookman Old Style"/>
                <w:b w:val="1"/>
                <w:bCs w:val="1"/>
              </w:rPr>
            </w:pPr>
          </w:p>
        </w:tc>
      </w:tr>
      <w:tr w:rsidRPr="004D4705" w:rsidR="0041574B" w:rsidTr="61848B61" w14:paraId="74181168" w14:textId="77777777">
        <w:trPr>
          <w:trHeight w:val="300"/>
        </w:trPr>
        <w:tc>
          <w:tcPr>
            <w:tcW w:w="4111" w:type="dxa"/>
            <w:tcMar/>
          </w:tcPr>
          <w:p w:rsidRPr="00E21DE9" w:rsidR="0041574B" w:rsidP="00E21DE9" w:rsidRDefault="00404230" w14:paraId="68E00682" w14:textId="08EE2112">
            <w:pPr>
              <w:tabs>
                <w:tab w:val="left" w:pos="851"/>
                <w:tab w:val="left" w:pos="1701"/>
              </w:tabs>
              <w:spacing w:line="276" w:lineRule="auto"/>
              <w:jc w:val="both"/>
              <w:outlineLvl w:val="1"/>
              <w:rPr>
                <w:rFonts w:ascii="Bookman Old Style" w:hAnsi="Bookman Old Style"/>
                <w:b/>
                <w:bCs/>
              </w:rPr>
            </w:pPr>
            <w:r w:rsidRPr="00E21DE9">
              <w:rPr>
                <w:rFonts w:ascii="Bookman Old Style" w:hAnsi="Bookman Old Style"/>
                <w:b/>
                <w:bCs/>
              </w:rPr>
              <w:t>A. Definisi</w:t>
            </w:r>
          </w:p>
        </w:tc>
        <w:tc>
          <w:tcPr>
            <w:tcW w:w="4560" w:type="dxa"/>
            <w:tcMar/>
          </w:tcPr>
          <w:p w:rsidRPr="00E21DE9" w:rsidR="0041574B" w:rsidP="00E21DE9" w:rsidRDefault="0041574B" w14:paraId="756687C8" w14:textId="2FE8AE4B">
            <w:pPr>
              <w:pStyle w:val="ListParagraph"/>
              <w:numPr>
                <w:ilvl w:val="0"/>
                <w:numId w:val="2"/>
              </w:numPr>
              <w:tabs>
                <w:tab w:val="left" w:pos="851"/>
                <w:tab w:val="left" w:pos="1701"/>
              </w:tabs>
              <w:spacing w:line="276" w:lineRule="auto"/>
              <w:jc w:val="both"/>
              <w:outlineLvl w:val="1"/>
              <w:rPr>
                <w:rFonts w:ascii="Bookman Old Style" w:hAnsi="Bookman Old Style"/>
                <w:b/>
              </w:rPr>
            </w:pPr>
            <w:r w:rsidRPr="00E21DE9">
              <w:rPr>
                <w:rFonts w:ascii="Bookman Old Style" w:hAnsi="Bookman Old Style"/>
                <w:b/>
              </w:rPr>
              <w:t xml:space="preserve">Definisi </w:t>
            </w:r>
          </w:p>
        </w:tc>
        <w:tc>
          <w:tcPr>
            <w:tcW w:w="3662" w:type="dxa"/>
            <w:tcMar/>
          </w:tcPr>
          <w:p w:rsidRPr="00825156" w:rsidR="0041574B" w:rsidP="00080818" w:rsidRDefault="0041574B" w14:paraId="79740C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0D7A0D07" w14:textId="2B2D2167">
            <w:pPr>
              <w:pStyle w:val="Normal"/>
              <w:spacing w:line="276" w:lineRule="auto"/>
              <w:jc w:val="both"/>
              <w:rPr>
                <w:rFonts w:ascii="Bookman Old Style" w:hAnsi="Bookman Old Style"/>
                <w:b w:val="1"/>
                <w:bCs w:val="1"/>
              </w:rPr>
            </w:pPr>
          </w:p>
        </w:tc>
      </w:tr>
      <w:tr w:rsidRPr="004D4705" w:rsidR="0041574B" w:rsidTr="61848B61" w14:paraId="53778019" w14:textId="77777777">
        <w:trPr>
          <w:trHeight w:val="300"/>
        </w:trPr>
        <w:tc>
          <w:tcPr>
            <w:tcW w:w="4111" w:type="dxa"/>
            <w:tcMar/>
          </w:tcPr>
          <w:p w:rsidRPr="00E21DE9" w:rsidR="0041574B" w:rsidP="00E21DE9" w:rsidRDefault="0083529A" w14:paraId="5A60AFA7" w14:textId="4430EA67">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Laporan Perubahan Ekuitas adalah laporan yang menunjukkan perubahan ekuitas Bank yang menggambarkan peningkatan atau penurunan aset neto atau kekayaan selama periode pelaporan.</w:t>
            </w:r>
          </w:p>
        </w:tc>
        <w:tc>
          <w:tcPr>
            <w:tcW w:w="4560" w:type="dxa"/>
            <w:tcMar/>
          </w:tcPr>
          <w:p w:rsidRPr="00E21DE9" w:rsidR="0041574B" w:rsidP="00E21DE9" w:rsidRDefault="008D3E89" w14:paraId="4A3F70A9" w14:textId="11788BA5">
            <w:pPr>
              <w:tabs>
                <w:tab w:val="left" w:pos="0"/>
                <w:tab w:val="left" w:pos="1701"/>
              </w:tabs>
              <w:spacing w:line="276" w:lineRule="auto"/>
              <w:jc w:val="both"/>
              <w:rPr>
                <w:rFonts w:ascii="Bookman Old Style" w:hAnsi="Bookman Old Style" w:cs="Calibri"/>
              </w:rPr>
            </w:pPr>
            <w:r w:rsidRPr="00E21DE9">
              <w:rPr>
                <w:rFonts w:ascii="Bookman Old Style" w:hAnsi="Bookman Old Style" w:cs="Calibri"/>
              </w:rPr>
              <w:t>Laporan Perubahan Ekuitas adalah laporan yang menunjukkan perubahan ekuitas Bank yang menggambarkan peningkatan atau penurunan aset neto atau kekayaan selama periode pelaporan.</w:t>
            </w:r>
          </w:p>
        </w:tc>
        <w:tc>
          <w:tcPr>
            <w:tcW w:w="3662" w:type="dxa"/>
            <w:tcMar/>
          </w:tcPr>
          <w:p w:rsidRPr="00825156" w:rsidR="0041574B" w:rsidP="00080818" w:rsidRDefault="0041574B" w14:paraId="7ED1D8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479B7A30" w14:textId="0BDE61FD">
            <w:pPr>
              <w:pStyle w:val="Normal"/>
              <w:spacing w:line="276" w:lineRule="auto"/>
              <w:jc w:val="both"/>
              <w:rPr>
                <w:rFonts w:ascii="Bookman Old Style" w:hAnsi="Bookman Old Style"/>
                <w:b w:val="1"/>
                <w:bCs w:val="1"/>
              </w:rPr>
            </w:pPr>
          </w:p>
        </w:tc>
      </w:tr>
      <w:tr w:rsidRPr="004D4705" w:rsidR="0041574B" w:rsidTr="61848B61" w14:paraId="52A0BA46" w14:textId="77777777">
        <w:trPr>
          <w:trHeight w:val="300"/>
        </w:trPr>
        <w:tc>
          <w:tcPr>
            <w:tcW w:w="4111" w:type="dxa"/>
            <w:tcMar/>
          </w:tcPr>
          <w:p w:rsidRPr="00E21DE9" w:rsidR="0041574B" w:rsidP="00E21DE9" w:rsidRDefault="0041574B" w14:paraId="2A7A2583" w14:textId="77777777">
            <w:pPr>
              <w:tabs>
                <w:tab w:val="left" w:pos="851"/>
                <w:tab w:val="left" w:pos="1701"/>
              </w:tabs>
              <w:spacing w:line="276" w:lineRule="auto"/>
              <w:jc w:val="both"/>
              <w:outlineLvl w:val="1"/>
              <w:rPr>
                <w:rFonts w:ascii="Bookman Old Style" w:hAnsi="Bookman Old Style"/>
                <w:bCs/>
              </w:rPr>
            </w:pPr>
          </w:p>
        </w:tc>
        <w:tc>
          <w:tcPr>
            <w:tcW w:w="4560" w:type="dxa"/>
            <w:tcMar/>
          </w:tcPr>
          <w:p w:rsidRPr="00E21DE9" w:rsidR="0041574B" w:rsidP="00E21DE9" w:rsidRDefault="0041574B" w14:paraId="2AFDD1AE" w14:textId="77777777">
            <w:pPr>
              <w:tabs>
                <w:tab w:val="left" w:pos="0"/>
                <w:tab w:val="left" w:pos="1701"/>
              </w:tabs>
              <w:spacing w:line="276" w:lineRule="auto"/>
              <w:jc w:val="both"/>
              <w:rPr>
                <w:rFonts w:ascii="Bookman Old Style" w:hAnsi="Bookman Old Style" w:cs="Calibri"/>
              </w:rPr>
            </w:pPr>
          </w:p>
        </w:tc>
        <w:tc>
          <w:tcPr>
            <w:tcW w:w="3662" w:type="dxa"/>
            <w:tcMar/>
          </w:tcPr>
          <w:p w:rsidRPr="00825156" w:rsidR="0041574B" w:rsidP="00080818" w:rsidRDefault="0041574B" w14:paraId="6661D7C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1DFAF8CE" w14:textId="6E24C67E">
            <w:pPr>
              <w:pStyle w:val="Normal"/>
              <w:spacing w:line="276" w:lineRule="auto"/>
              <w:jc w:val="both"/>
              <w:rPr>
                <w:rFonts w:ascii="Bookman Old Style" w:hAnsi="Bookman Old Style"/>
                <w:b w:val="1"/>
                <w:bCs w:val="1"/>
              </w:rPr>
            </w:pPr>
          </w:p>
        </w:tc>
      </w:tr>
      <w:tr w:rsidRPr="004D4705" w:rsidR="0041574B" w:rsidTr="61848B61" w14:paraId="07EE87DA" w14:textId="77777777">
        <w:trPr>
          <w:trHeight w:val="300"/>
        </w:trPr>
        <w:tc>
          <w:tcPr>
            <w:tcW w:w="4111" w:type="dxa"/>
            <w:tcMar/>
          </w:tcPr>
          <w:p w:rsidRPr="00E21DE9" w:rsidR="0041574B" w:rsidP="00E21DE9" w:rsidRDefault="0083529A" w14:paraId="7B16F15C" w14:textId="0E0D6F8E">
            <w:pPr>
              <w:tabs>
                <w:tab w:val="left" w:pos="851"/>
                <w:tab w:val="left" w:pos="1701"/>
              </w:tabs>
              <w:spacing w:line="276" w:lineRule="auto"/>
              <w:jc w:val="both"/>
              <w:outlineLvl w:val="1"/>
              <w:rPr>
                <w:rFonts w:ascii="Bookman Old Style" w:hAnsi="Bookman Old Style"/>
                <w:b/>
                <w:bCs/>
              </w:rPr>
            </w:pPr>
            <w:r w:rsidRPr="00E21DE9">
              <w:rPr>
                <w:rFonts w:ascii="Bookman Old Style" w:hAnsi="Bookman Old Style"/>
                <w:b/>
                <w:bCs/>
              </w:rPr>
              <w:t>B. Dasar Pengaturan</w:t>
            </w:r>
          </w:p>
        </w:tc>
        <w:tc>
          <w:tcPr>
            <w:tcW w:w="4560" w:type="dxa"/>
            <w:tcMar/>
          </w:tcPr>
          <w:p w:rsidRPr="00E21DE9" w:rsidR="0041574B" w:rsidP="00E21DE9" w:rsidRDefault="0041574B" w14:paraId="3A363FC6" w14:textId="38C64393">
            <w:pPr>
              <w:pStyle w:val="ListParagraph"/>
              <w:numPr>
                <w:ilvl w:val="0"/>
                <w:numId w:val="2"/>
              </w:numPr>
              <w:tabs>
                <w:tab w:val="left" w:pos="851"/>
                <w:tab w:val="left" w:pos="1701"/>
              </w:tabs>
              <w:spacing w:line="276" w:lineRule="auto"/>
              <w:jc w:val="both"/>
              <w:outlineLvl w:val="1"/>
              <w:rPr>
                <w:rFonts w:ascii="Bookman Old Style" w:hAnsi="Bookman Old Style" w:cs="Calibri"/>
                <w:b/>
                <w:bCs/>
              </w:rPr>
            </w:pPr>
            <w:r w:rsidRPr="00E21DE9">
              <w:rPr>
                <w:rFonts w:ascii="Bookman Old Style" w:hAnsi="Bookman Old Style" w:cs="Calibri"/>
                <w:b/>
                <w:bCs/>
              </w:rPr>
              <w:t xml:space="preserve">Dasar Pengaturan </w:t>
            </w:r>
          </w:p>
        </w:tc>
        <w:tc>
          <w:tcPr>
            <w:tcW w:w="3662" w:type="dxa"/>
            <w:tcMar/>
          </w:tcPr>
          <w:p w:rsidRPr="00825156" w:rsidR="0041574B" w:rsidP="00080818" w:rsidRDefault="0041574B" w14:paraId="4E39513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7D90D777" w14:textId="6DDBB3AF">
            <w:pPr>
              <w:pStyle w:val="Normal"/>
              <w:spacing w:line="276" w:lineRule="auto"/>
              <w:jc w:val="both"/>
              <w:rPr>
                <w:rFonts w:ascii="Bookman Old Style" w:hAnsi="Bookman Old Style"/>
                <w:b w:val="1"/>
                <w:bCs w:val="1"/>
              </w:rPr>
            </w:pPr>
          </w:p>
        </w:tc>
      </w:tr>
      <w:tr w:rsidRPr="004D4705" w:rsidR="0041574B" w:rsidTr="61848B61" w14:paraId="5EEA8EC2" w14:textId="77777777">
        <w:trPr>
          <w:trHeight w:val="300"/>
        </w:trPr>
        <w:tc>
          <w:tcPr>
            <w:tcW w:w="4111" w:type="dxa"/>
            <w:tcMar/>
          </w:tcPr>
          <w:p w:rsidRPr="00E21DE9" w:rsidR="0083529A" w:rsidP="00E21DE9" w:rsidRDefault="0083529A" w14:paraId="5FE8EBEB" w14:textId="77777777">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bCs/>
              </w:rPr>
              <w:t>01. PSAK 101 tentang Penyajian Laporan Keuangan Syariah.</w:t>
            </w:r>
          </w:p>
          <w:p w:rsidRPr="00E21DE9" w:rsidR="0041574B" w:rsidP="00E21DE9" w:rsidRDefault="0083529A" w14:paraId="64DE5EE1" w14:textId="05AF8232">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bCs/>
              </w:rPr>
              <w:t>02. SAK lain yang relevan.</w:t>
            </w:r>
          </w:p>
        </w:tc>
        <w:tc>
          <w:tcPr>
            <w:tcW w:w="4560" w:type="dxa"/>
            <w:tcMar/>
          </w:tcPr>
          <w:p w:rsidRPr="00E21DE9" w:rsidR="0041574B" w:rsidP="00E21DE9" w:rsidRDefault="0041574B" w14:paraId="41EACFC8" w14:textId="4F3AA875">
            <w:pPr>
              <w:spacing w:line="276" w:lineRule="auto"/>
              <w:jc w:val="both"/>
              <w:rPr>
                <w:rFonts w:ascii="Bookman Old Style" w:hAnsi="Bookman Old Style" w:cs="Calibri"/>
              </w:rPr>
            </w:pPr>
            <w:r w:rsidRPr="00E21DE9">
              <w:rPr>
                <w:rFonts w:ascii="Bookman Old Style" w:hAnsi="Bookman Old Style" w:cs="Calibri"/>
              </w:rPr>
              <w:t>PSAK 401</w:t>
            </w:r>
            <w:r w:rsidR="009702F4">
              <w:rPr>
                <w:rFonts w:ascii="Bookman Old Style" w:hAnsi="Bookman Old Style" w:cs="Calibri"/>
              </w:rPr>
              <w:t xml:space="preserve"> </w:t>
            </w:r>
            <w:r w:rsidRPr="00E21DE9">
              <w:rPr>
                <w:rFonts w:ascii="Bookman Old Style" w:hAnsi="Bookman Old Style" w:cs="Calibri"/>
              </w:rPr>
              <w:t>tentang Penyajian</w:t>
            </w:r>
            <w:r w:rsidR="009702F4">
              <w:rPr>
                <w:rFonts w:ascii="Bookman Old Style" w:hAnsi="Bookman Old Style" w:cs="Calibri"/>
              </w:rPr>
              <w:t xml:space="preserve"> dan Pengungkapan dalam</w:t>
            </w:r>
            <w:r w:rsidRPr="00E21DE9">
              <w:rPr>
                <w:rFonts w:ascii="Bookman Old Style" w:hAnsi="Bookman Old Style" w:cs="Calibri"/>
              </w:rPr>
              <w:t xml:space="preserve"> Laporan Keuangan Syariah</w:t>
            </w:r>
          </w:p>
        </w:tc>
        <w:tc>
          <w:tcPr>
            <w:tcW w:w="3662" w:type="dxa"/>
            <w:tcMar/>
          </w:tcPr>
          <w:p w:rsidRPr="00825156" w:rsidR="0041574B" w:rsidP="00080818" w:rsidRDefault="0041574B" w14:paraId="6831F0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2F3076CB" w14:textId="240E9810">
            <w:pPr>
              <w:pStyle w:val="Normal"/>
              <w:spacing w:line="276" w:lineRule="auto"/>
              <w:jc w:val="both"/>
              <w:rPr>
                <w:rFonts w:ascii="Bookman Old Style" w:hAnsi="Bookman Old Style"/>
                <w:b w:val="1"/>
                <w:bCs w:val="1"/>
              </w:rPr>
            </w:pPr>
          </w:p>
        </w:tc>
      </w:tr>
      <w:tr w:rsidRPr="004D4705" w:rsidR="0041574B" w:rsidTr="61848B61" w14:paraId="6BF9A796" w14:textId="77777777">
        <w:trPr>
          <w:trHeight w:val="300"/>
        </w:trPr>
        <w:tc>
          <w:tcPr>
            <w:tcW w:w="4111" w:type="dxa"/>
            <w:tcMar/>
          </w:tcPr>
          <w:p w:rsidRPr="00E21DE9" w:rsidR="0041574B" w:rsidP="00E21DE9" w:rsidRDefault="0041574B" w14:paraId="6773A2FB" w14:textId="77777777">
            <w:pPr>
              <w:tabs>
                <w:tab w:val="left" w:pos="851"/>
                <w:tab w:val="left" w:pos="1701"/>
              </w:tabs>
              <w:spacing w:line="276" w:lineRule="auto"/>
              <w:jc w:val="both"/>
              <w:outlineLvl w:val="1"/>
              <w:rPr>
                <w:rFonts w:ascii="Bookman Old Style" w:hAnsi="Bookman Old Style"/>
                <w:bCs/>
              </w:rPr>
            </w:pPr>
          </w:p>
        </w:tc>
        <w:tc>
          <w:tcPr>
            <w:tcW w:w="4560" w:type="dxa"/>
            <w:tcMar/>
          </w:tcPr>
          <w:p w:rsidRPr="00E21DE9" w:rsidR="0041574B" w:rsidP="00E21DE9" w:rsidRDefault="0041574B" w14:paraId="5A4076B6" w14:textId="77777777">
            <w:pPr>
              <w:tabs>
                <w:tab w:val="left" w:pos="0"/>
                <w:tab w:val="left" w:pos="1701"/>
              </w:tabs>
              <w:spacing w:line="276" w:lineRule="auto"/>
              <w:jc w:val="both"/>
              <w:rPr>
                <w:rFonts w:ascii="Bookman Old Style" w:hAnsi="Bookman Old Style" w:cs="Calibri"/>
              </w:rPr>
            </w:pPr>
          </w:p>
        </w:tc>
        <w:tc>
          <w:tcPr>
            <w:tcW w:w="3662" w:type="dxa"/>
            <w:tcMar/>
          </w:tcPr>
          <w:p w:rsidRPr="00825156" w:rsidR="0041574B" w:rsidP="00080818" w:rsidRDefault="0041574B" w14:paraId="761703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655EE8C" w14:textId="1B41932E">
            <w:pPr>
              <w:pStyle w:val="Normal"/>
              <w:spacing w:line="276" w:lineRule="auto"/>
              <w:jc w:val="both"/>
              <w:rPr>
                <w:rFonts w:ascii="Bookman Old Style" w:hAnsi="Bookman Old Style"/>
                <w:b w:val="1"/>
                <w:bCs w:val="1"/>
              </w:rPr>
            </w:pPr>
          </w:p>
        </w:tc>
      </w:tr>
      <w:tr w:rsidRPr="004D4705" w:rsidR="0041574B" w:rsidTr="61848B61" w14:paraId="6219C96A" w14:textId="77777777">
        <w:trPr>
          <w:trHeight w:val="300"/>
        </w:trPr>
        <w:tc>
          <w:tcPr>
            <w:tcW w:w="4111" w:type="dxa"/>
            <w:tcMar/>
          </w:tcPr>
          <w:p w:rsidRPr="00E21DE9" w:rsidR="0041574B" w:rsidP="00E21DE9" w:rsidRDefault="0091319D" w14:paraId="639F16B5" w14:textId="4871350F">
            <w:pPr>
              <w:tabs>
                <w:tab w:val="left" w:pos="851"/>
                <w:tab w:val="left" w:pos="1701"/>
              </w:tabs>
              <w:spacing w:line="276" w:lineRule="auto"/>
              <w:jc w:val="both"/>
              <w:outlineLvl w:val="1"/>
              <w:rPr>
                <w:rFonts w:ascii="Bookman Old Style" w:hAnsi="Bookman Old Style"/>
                <w:b/>
                <w:bCs/>
              </w:rPr>
            </w:pPr>
            <w:r w:rsidRPr="00E21DE9">
              <w:rPr>
                <w:rFonts w:ascii="Bookman Old Style" w:hAnsi="Bookman Old Style"/>
                <w:b/>
                <w:bCs/>
              </w:rPr>
              <w:t>C. Penjelasan</w:t>
            </w:r>
          </w:p>
        </w:tc>
        <w:tc>
          <w:tcPr>
            <w:tcW w:w="4560" w:type="dxa"/>
            <w:tcMar/>
          </w:tcPr>
          <w:p w:rsidRPr="00E21DE9" w:rsidR="0041574B" w:rsidP="00E21DE9" w:rsidRDefault="0041574B" w14:paraId="69370946" w14:textId="10AFC2FA">
            <w:pPr>
              <w:pStyle w:val="ListParagraph"/>
              <w:numPr>
                <w:ilvl w:val="0"/>
                <w:numId w:val="2"/>
              </w:numPr>
              <w:tabs>
                <w:tab w:val="left" w:pos="851"/>
                <w:tab w:val="left" w:pos="1701"/>
              </w:tabs>
              <w:spacing w:line="276" w:lineRule="auto"/>
              <w:jc w:val="both"/>
              <w:outlineLvl w:val="1"/>
              <w:rPr>
                <w:rFonts w:ascii="Bookman Old Style" w:hAnsi="Bookman Old Style" w:cs="Calibri"/>
                <w:b/>
                <w:bCs/>
              </w:rPr>
            </w:pPr>
            <w:r w:rsidRPr="00E21DE9">
              <w:rPr>
                <w:rFonts w:ascii="Bookman Old Style" w:hAnsi="Bookman Old Style" w:cs="Calibri"/>
                <w:b/>
                <w:bCs/>
              </w:rPr>
              <w:t xml:space="preserve">Penjelasan </w:t>
            </w:r>
          </w:p>
        </w:tc>
        <w:tc>
          <w:tcPr>
            <w:tcW w:w="3662" w:type="dxa"/>
            <w:tcMar/>
          </w:tcPr>
          <w:p w:rsidRPr="00825156" w:rsidR="0041574B" w:rsidP="00080818" w:rsidRDefault="0041574B" w14:paraId="7F6BB55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68B88D09" w14:textId="4148305D">
            <w:pPr>
              <w:pStyle w:val="Normal"/>
              <w:spacing w:line="276" w:lineRule="auto"/>
              <w:jc w:val="both"/>
              <w:rPr>
                <w:rFonts w:ascii="Bookman Old Style" w:hAnsi="Bookman Old Style"/>
                <w:b w:val="1"/>
                <w:bCs w:val="1"/>
              </w:rPr>
            </w:pPr>
          </w:p>
        </w:tc>
      </w:tr>
      <w:tr w:rsidRPr="004D4705" w:rsidR="0041574B" w:rsidTr="61848B61" w14:paraId="57C22ABE" w14:textId="77777777">
        <w:trPr>
          <w:trHeight w:val="300"/>
        </w:trPr>
        <w:tc>
          <w:tcPr>
            <w:tcW w:w="4111" w:type="dxa"/>
            <w:tcMar/>
          </w:tcPr>
          <w:p w:rsidRPr="00E21DE9" w:rsidR="0041574B" w:rsidP="00E21DE9" w:rsidRDefault="0091319D" w14:paraId="1250C180" w14:textId="66ED70A9">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01. Perubahan ekuitas menggambarkan peningkatan atau penurunan aset neto selama suatu periode berdasarkan prinsip pengukuran tertentu yang dianut dan harus diungkapkan dalam Laporan Keuangan.</w:t>
            </w:r>
          </w:p>
        </w:tc>
        <w:tc>
          <w:tcPr>
            <w:tcW w:w="4560" w:type="dxa"/>
            <w:tcMar/>
          </w:tcPr>
          <w:p w:rsidRPr="00E21DE9" w:rsidR="0041574B" w:rsidP="00E21DE9" w:rsidRDefault="00657926" w14:paraId="3F1C04BF" w14:textId="61C299AF">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t xml:space="preserve">Perubahan ekuitas menggambarkan peningkatan atau penurunan aset neto selama suatu periode berdasarkan prinsip pengukuran tertentu yang dianut dan harus diungkapkan dalam laporan keuangan. </w:t>
            </w:r>
          </w:p>
        </w:tc>
        <w:tc>
          <w:tcPr>
            <w:tcW w:w="3662" w:type="dxa"/>
            <w:tcMar/>
          </w:tcPr>
          <w:p w:rsidRPr="00825156" w:rsidR="0041574B" w:rsidP="00080818" w:rsidRDefault="0041574B" w14:paraId="30EEE48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B2FCF27" w14:textId="19B9F451">
            <w:pPr>
              <w:pStyle w:val="Normal"/>
              <w:spacing w:line="276" w:lineRule="auto"/>
              <w:jc w:val="both"/>
              <w:rPr>
                <w:rFonts w:ascii="Bookman Old Style" w:hAnsi="Bookman Old Style"/>
                <w:b w:val="1"/>
                <w:bCs w:val="1"/>
              </w:rPr>
            </w:pPr>
          </w:p>
        </w:tc>
      </w:tr>
      <w:tr w:rsidRPr="004D4705" w:rsidR="00657926" w:rsidTr="61848B61" w14:paraId="03F6B60D" w14:textId="77777777">
        <w:trPr>
          <w:trHeight w:val="300"/>
        </w:trPr>
        <w:tc>
          <w:tcPr>
            <w:tcW w:w="4111" w:type="dxa"/>
            <w:tcMar/>
          </w:tcPr>
          <w:p w:rsidRPr="00E21DE9" w:rsidR="00657926" w:rsidP="00E21DE9" w:rsidRDefault="0091319D" w14:paraId="41D5A87E" w14:textId="33ED966F">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 xml:space="preserve">02. Laporan Perubahan Ekuitas, kecuali untuk perubahan yang berasal dari transaksi ekuitas yaitu transaksi dengan pemegang saham dalam kapasitasnya sebagai pemilik seperti setoran modal dan pembayaran dividen, menggambarkan jumlah penghasilan dan beban </w:t>
            </w:r>
            <w:r w:rsidRPr="00E21DE9">
              <w:rPr>
                <w:rFonts w:ascii="Bookman Old Style" w:hAnsi="Bookman Old Style"/>
              </w:rPr>
              <w:lastRenderedPageBreak/>
              <w:t>yang berasal dari kegiatan Bank selama periode yang bersangkutan.</w:t>
            </w:r>
          </w:p>
        </w:tc>
        <w:tc>
          <w:tcPr>
            <w:tcW w:w="4560" w:type="dxa"/>
            <w:tcMar/>
          </w:tcPr>
          <w:p w:rsidRPr="00E21DE9" w:rsidR="00657926" w:rsidP="00E21DE9" w:rsidRDefault="00016F07" w14:paraId="3CADBF91" w14:textId="5891F6E8">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lastRenderedPageBreak/>
              <w:t xml:space="preserve">Laporan Perubahan Ekuitas, kecuali untuk perubahan yang berasal dari transaksi ekuitas yaitu transaksi dengan pemegang saham dalam kapasitasnya sebagai pemilik seperti setoran modal dan pembayaran dividen, menggambarkan jumlah penghasilan </w:t>
            </w:r>
            <w:r w:rsidRPr="00E21DE9">
              <w:rPr>
                <w:rFonts w:ascii="Bookman Old Style" w:hAnsi="Bookman Old Style" w:cs="Calibri"/>
              </w:rPr>
              <w:lastRenderedPageBreak/>
              <w:t>dan beban yang berasal dari kegiatan Bank selama periode yang bersangkutan.</w:t>
            </w:r>
          </w:p>
        </w:tc>
        <w:tc>
          <w:tcPr>
            <w:tcW w:w="3662" w:type="dxa"/>
            <w:tcMar/>
          </w:tcPr>
          <w:p w:rsidRPr="00825156" w:rsidR="00657926" w:rsidP="00080818" w:rsidRDefault="00657926" w14:paraId="709AF6B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0A9B102E" w14:textId="32B43227">
            <w:pPr>
              <w:pStyle w:val="Normal"/>
              <w:spacing w:line="276" w:lineRule="auto"/>
              <w:jc w:val="both"/>
              <w:rPr>
                <w:rFonts w:ascii="Bookman Old Style" w:hAnsi="Bookman Old Style"/>
                <w:b w:val="1"/>
                <w:bCs w:val="1"/>
              </w:rPr>
            </w:pPr>
          </w:p>
        </w:tc>
      </w:tr>
      <w:tr w:rsidRPr="004D4705" w:rsidR="00657926" w:rsidTr="61848B61" w14:paraId="7852AED1" w14:textId="77777777">
        <w:trPr>
          <w:trHeight w:val="300"/>
        </w:trPr>
        <w:tc>
          <w:tcPr>
            <w:tcW w:w="4111" w:type="dxa"/>
            <w:tcMar/>
          </w:tcPr>
          <w:p w:rsidRPr="00E21DE9" w:rsidR="00657926" w:rsidP="00E21DE9" w:rsidRDefault="0064439E" w14:paraId="11377A71" w14:textId="35CFE45E">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03. Bank menyajikan, baik dalam Laporan Perubahan Ekuitas atau Catatan Atas Laporan Keuangan, jumlah dividen yang diakui sebagai distribusi kepada pemegang saham, dan nilai dividen per saham.</w:t>
            </w:r>
          </w:p>
        </w:tc>
        <w:tc>
          <w:tcPr>
            <w:tcW w:w="4560" w:type="dxa"/>
            <w:tcMar/>
          </w:tcPr>
          <w:p w:rsidRPr="00E21DE9" w:rsidR="00657926" w:rsidP="00E21DE9" w:rsidRDefault="000D48AB" w14:paraId="186109CF" w14:textId="72BA046F">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t>Bank menyajikan, baik dalam Laporan Perubahan Ekuitas atau Catatan Atas Laporan Keuangan, jumlah dividen yang diakui sebagai distribusi kepada pemegang saham dan nilai dividen per saham.</w:t>
            </w:r>
          </w:p>
        </w:tc>
        <w:tc>
          <w:tcPr>
            <w:tcW w:w="3662" w:type="dxa"/>
            <w:tcMar/>
          </w:tcPr>
          <w:p w:rsidRPr="00825156" w:rsidR="00657926" w:rsidP="00080818" w:rsidRDefault="00657926" w14:paraId="5DC20BF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29E45BFD" w14:textId="4231B878">
            <w:pPr>
              <w:pStyle w:val="Normal"/>
              <w:spacing w:line="276" w:lineRule="auto"/>
              <w:jc w:val="both"/>
              <w:rPr>
                <w:rFonts w:ascii="Bookman Old Style" w:hAnsi="Bookman Old Style"/>
                <w:b w:val="1"/>
                <w:bCs w:val="1"/>
              </w:rPr>
            </w:pPr>
          </w:p>
        </w:tc>
      </w:tr>
      <w:tr w:rsidRPr="004D4705" w:rsidR="00657926" w:rsidTr="61848B61" w14:paraId="52D30372" w14:textId="77777777">
        <w:trPr>
          <w:trHeight w:val="300"/>
        </w:trPr>
        <w:tc>
          <w:tcPr>
            <w:tcW w:w="4111" w:type="dxa"/>
            <w:tcMar/>
          </w:tcPr>
          <w:p w:rsidRPr="00E21DE9" w:rsidR="00657926" w:rsidP="00E21DE9" w:rsidRDefault="0064439E" w14:paraId="7D20C54B" w14:textId="0D630F54">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04. Perubahan ekuitas antara awal dan akhir periode pelaporan menggambarkan peningkatan dan penurunan aset neto atau kekayaan selama periode bersangkutan berdasarkan prinsip pengukuran tertentu yang dianut dan harus diungkapkan dalam Laporan Keuangan.</w:t>
            </w:r>
          </w:p>
        </w:tc>
        <w:tc>
          <w:tcPr>
            <w:tcW w:w="4560" w:type="dxa"/>
            <w:tcMar/>
          </w:tcPr>
          <w:p w:rsidRPr="00E21DE9" w:rsidR="00657926" w:rsidP="00E21DE9" w:rsidRDefault="00EB3A43" w14:paraId="6D3DBBB7" w14:textId="6F595EAF">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t>Perubahan ekuitas antara awal dan akhir periode pelaporan menggambarkan peningkatan dan penurunan aset neto atau kekayaan selama periode bersangkutan berdasarkan prinsip pengukuran tertentu yang dianut dan harus diungkapkan dalam laporan keuangan.</w:t>
            </w:r>
          </w:p>
        </w:tc>
        <w:tc>
          <w:tcPr>
            <w:tcW w:w="3662" w:type="dxa"/>
            <w:tcMar/>
          </w:tcPr>
          <w:p w:rsidRPr="00825156" w:rsidR="00657926" w:rsidP="00080818" w:rsidRDefault="00657926" w14:paraId="745743D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73F80A9D" w14:textId="5F285F5B">
            <w:pPr>
              <w:pStyle w:val="Normal"/>
              <w:spacing w:line="276" w:lineRule="auto"/>
              <w:jc w:val="both"/>
              <w:rPr>
                <w:rFonts w:ascii="Bookman Old Style" w:hAnsi="Bookman Old Style"/>
                <w:b w:val="1"/>
                <w:bCs w:val="1"/>
              </w:rPr>
            </w:pPr>
          </w:p>
        </w:tc>
      </w:tr>
      <w:tr w:rsidRPr="004D4705" w:rsidR="00657926" w:rsidTr="61848B61" w14:paraId="65395F0D" w14:textId="77777777">
        <w:trPr>
          <w:trHeight w:val="300"/>
        </w:trPr>
        <w:tc>
          <w:tcPr>
            <w:tcW w:w="4111" w:type="dxa"/>
            <w:tcMar/>
          </w:tcPr>
          <w:p w:rsidRPr="00E21DE9" w:rsidR="00657926" w:rsidP="00E21DE9" w:rsidRDefault="0064439E" w14:paraId="1468656B" w14:textId="06460B46">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05. Laporan Perubahan Ekuitas, kecuali untuk perubahan yang berasal dari transaksi ekuitas, menggambarkan jumlah keuntungan dan kerugian yang berasal dari kegiatan Bank selama suatu periode.</w:t>
            </w:r>
          </w:p>
        </w:tc>
        <w:tc>
          <w:tcPr>
            <w:tcW w:w="4560" w:type="dxa"/>
            <w:tcMar/>
          </w:tcPr>
          <w:p w:rsidRPr="00E21DE9" w:rsidR="00657926" w:rsidP="00E21DE9" w:rsidRDefault="00A87D8F" w14:paraId="0407755E" w14:textId="65491494">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t>Laporan Perubahan Ekuitas, kecuali untuk perubahan yang berasal dari transaksi ekuitas, menggambarkan jumlah keuntungan dan kerugian yang berasal dari kegiatan Bank selama suatu periode.</w:t>
            </w:r>
          </w:p>
        </w:tc>
        <w:tc>
          <w:tcPr>
            <w:tcW w:w="3662" w:type="dxa"/>
            <w:tcMar/>
          </w:tcPr>
          <w:p w:rsidRPr="00825156" w:rsidR="00657926" w:rsidP="00080818" w:rsidRDefault="00657926" w14:paraId="2D2E53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C786731" w14:textId="79ED615B">
            <w:pPr>
              <w:pStyle w:val="Normal"/>
              <w:spacing w:line="276" w:lineRule="auto"/>
              <w:jc w:val="both"/>
              <w:rPr>
                <w:rFonts w:ascii="Bookman Old Style" w:hAnsi="Bookman Old Style"/>
                <w:b w:val="1"/>
                <w:bCs w:val="1"/>
              </w:rPr>
            </w:pPr>
          </w:p>
        </w:tc>
      </w:tr>
      <w:tr w:rsidRPr="004D4705" w:rsidR="00657926" w:rsidTr="61848B61" w14:paraId="121D0801" w14:textId="77777777">
        <w:trPr>
          <w:trHeight w:val="300"/>
        </w:trPr>
        <w:tc>
          <w:tcPr>
            <w:tcW w:w="4111" w:type="dxa"/>
            <w:tcMar/>
          </w:tcPr>
          <w:p w:rsidRPr="00E21DE9" w:rsidR="00657926" w:rsidP="00E21DE9" w:rsidRDefault="00C31628" w14:paraId="464E5677" w14:textId="54BB8A4B">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06. Laporan Perubahan Ekuitas menunjukkan:</w:t>
            </w:r>
          </w:p>
        </w:tc>
        <w:tc>
          <w:tcPr>
            <w:tcW w:w="4560" w:type="dxa"/>
            <w:tcMar/>
          </w:tcPr>
          <w:p w:rsidRPr="00E21DE9" w:rsidR="00657926" w:rsidP="00E21DE9" w:rsidRDefault="000C396D" w14:paraId="4657E37B" w14:textId="1F4FAAF1">
            <w:pPr>
              <w:pStyle w:val="ListParagraph"/>
              <w:numPr>
                <w:ilvl w:val="0"/>
                <w:numId w:val="3"/>
              </w:numPr>
              <w:tabs>
                <w:tab w:val="left" w:pos="0"/>
                <w:tab w:val="left" w:pos="1701"/>
              </w:tabs>
              <w:spacing w:line="276" w:lineRule="auto"/>
              <w:ind w:left="365" w:hanging="365"/>
              <w:jc w:val="both"/>
              <w:rPr>
                <w:rFonts w:ascii="Bookman Old Style" w:hAnsi="Bookman Old Style" w:cs="Calibri"/>
              </w:rPr>
            </w:pPr>
            <w:r w:rsidRPr="00E21DE9">
              <w:rPr>
                <w:rFonts w:ascii="Bookman Old Style" w:hAnsi="Bookman Old Style" w:cs="Calibri"/>
              </w:rPr>
              <w:t>Laporan Perubahan Ekuitas menunjukkan:</w:t>
            </w:r>
          </w:p>
        </w:tc>
        <w:tc>
          <w:tcPr>
            <w:tcW w:w="3662" w:type="dxa"/>
            <w:tcMar/>
          </w:tcPr>
          <w:p w:rsidRPr="00825156" w:rsidR="00657926" w:rsidP="00080818" w:rsidRDefault="00657926" w14:paraId="34BEAD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8E70151" w14:textId="550BE599">
            <w:pPr>
              <w:pStyle w:val="Normal"/>
              <w:spacing w:line="276" w:lineRule="auto"/>
              <w:jc w:val="both"/>
              <w:rPr>
                <w:rFonts w:ascii="Bookman Old Style" w:hAnsi="Bookman Old Style"/>
                <w:b w:val="1"/>
                <w:bCs w:val="1"/>
              </w:rPr>
            </w:pPr>
          </w:p>
        </w:tc>
      </w:tr>
      <w:tr w:rsidRPr="004D4705" w:rsidR="00657926" w:rsidTr="61848B61" w14:paraId="571CB12F" w14:textId="77777777">
        <w:trPr>
          <w:trHeight w:val="300"/>
        </w:trPr>
        <w:tc>
          <w:tcPr>
            <w:tcW w:w="4111" w:type="dxa"/>
            <w:tcMar/>
          </w:tcPr>
          <w:p w:rsidRPr="00E21DE9" w:rsidR="00657926" w:rsidP="00E21DE9" w:rsidRDefault="00C31628" w14:paraId="73049B2D" w14:textId="06D5EBBF">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a. Total laba komprehensif</w:t>
            </w:r>
          </w:p>
        </w:tc>
        <w:tc>
          <w:tcPr>
            <w:tcW w:w="4560" w:type="dxa"/>
            <w:tcMar/>
          </w:tcPr>
          <w:p w:rsidRPr="00E21DE9" w:rsidR="00657926" w:rsidP="00E21DE9" w:rsidRDefault="00B52CAC" w14:paraId="12C2017D" w14:textId="0DBAF427">
            <w:pPr>
              <w:numPr>
                <w:ilvl w:val="0"/>
                <w:numId w:val="5"/>
              </w:numPr>
              <w:spacing w:line="276" w:lineRule="auto"/>
              <w:ind w:left="794" w:hanging="426"/>
              <w:jc w:val="both"/>
              <w:rPr>
                <w:rFonts w:ascii="Bookman Old Style" w:hAnsi="Bookman Old Style" w:cs="Calibri"/>
              </w:rPr>
            </w:pPr>
            <w:r w:rsidRPr="00E21DE9">
              <w:rPr>
                <w:rFonts w:ascii="Bookman Old Style" w:hAnsi="Bookman Old Style" w:cs="Calibri"/>
              </w:rPr>
              <w:t>Total laba komprehensif</w:t>
            </w:r>
          </w:p>
        </w:tc>
        <w:tc>
          <w:tcPr>
            <w:tcW w:w="3662" w:type="dxa"/>
            <w:tcMar/>
          </w:tcPr>
          <w:p w:rsidRPr="00825156" w:rsidR="00657926" w:rsidP="00080818" w:rsidRDefault="00657926" w14:paraId="37BFE0B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6AAA008D" w14:textId="129E9443">
            <w:pPr>
              <w:pStyle w:val="Normal"/>
              <w:spacing w:line="276" w:lineRule="auto"/>
              <w:jc w:val="both"/>
              <w:rPr>
                <w:rFonts w:ascii="Bookman Old Style" w:hAnsi="Bookman Old Style"/>
                <w:b w:val="1"/>
                <w:bCs w:val="1"/>
              </w:rPr>
            </w:pPr>
          </w:p>
        </w:tc>
      </w:tr>
      <w:tr w:rsidRPr="004D4705" w:rsidR="00D82053" w:rsidTr="61848B61" w14:paraId="6078D8B7" w14:textId="77777777">
        <w:trPr>
          <w:trHeight w:val="300"/>
        </w:trPr>
        <w:tc>
          <w:tcPr>
            <w:tcW w:w="4111" w:type="dxa"/>
            <w:tcMar/>
          </w:tcPr>
          <w:p w:rsidRPr="00E21DE9" w:rsidR="00D82053" w:rsidP="00E21DE9" w:rsidRDefault="00C31628" w14:paraId="217EEB35" w14:textId="13193168">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i. Jumlah yang dapat diatribusikan kepada pemilik entitas induk;</w:t>
            </w:r>
          </w:p>
        </w:tc>
        <w:tc>
          <w:tcPr>
            <w:tcW w:w="4560" w:type="dxa"/>
            <w:tcMar/>
          </w:tcPr>
          <w:p w:rsidRPr="00E21DE9" w:rsidR="00D82053" w:rsidP="00E21DE9" w:rsidRDefault="00D82053" w14:paraId="1D12254D" w14:textId="7B6E69B6">
            <w:pPr>
              <w:numPr>
                <w:ilvl w:val="1"/>
                <w:numId w:val="5"/>
              </w:numPr>
              <w:spacing w:line="276" w:lineRule="auto"/>
              <w:ind w:left="1219" w:hanging="425"/>
              <w:jc w:val="both"/>
              <w:rPr>
                <w:rFonts w:ascii="Bookman Old Style" w:hAnsi="Bookman Old Style" w:cs="Calibri"/>
              </w:rPr>
            </w:pPr>
            <w:r w:rsidRPr="00E21DE9">
              <w:rPr>
                <w:rFonts w:ascii="Bookman Old Style" w:hAnsi="Bookman Old Style" w:cs="Calibri"/>
              </w:rPr>
              <w:t>Jumlah yang dapat diatribusikan kepada pemilik entitas induk.</w:t>
            </w:r>
          </w:p>
        </w:tc>
        <w:tc>
          <w:tcPr>
            <w:tcW w:w="3662" w:type="dxa"/>
            <w:tcMar/>
          </w:tcPr>
          <w:p w:rsidRPr="00825156" w:rsidR="00D82053" w:rsidP="00080818" w:rsidRDefault="00D82053" w14:paraId="5C2DB4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1FF3F1C" w14:textId="1851AAF6">
            <w:pPr>
              <w:pStyle w:val="Normal"/>
              <w:spacing w:line="276" w:lineRule="auto"/>
              <w:jc w:val="both"/>
              <w:rPr>
                <w:rFonts w:ascii="Bookman Old Style" w:hAnsi="Bookman Old Style"/>
                <w:b w:val="1"/>
                <w:bCs w:val="1"/>
              </w:rPr>
            </w:pPr>
          </w:p>
        </w:tc>
      </w:tr>
      <w:tr w:rsidRPr="004D4705" w:rsidR="00D82053" w:rsidTr="61848B61" w14:paraId="54F05F92" w14:textId="77777777">
        <w:trPr>
          <w:trHeight w:val="300"/>
        </w:trPr>
        <w:tc>
          <w:tcPr>
            <w:tcW w:w="4111" w:type="dxa"/>
            <w:tcMar/>
          </w:tcPr>
          <w:p w:rsidRPr="00E21DE9" w:rsidR="00D82053" w:rsidP="00E21DE9" w:rsidRDefault="006B6530" w14:paraId="336517B8" w14:textId="13C9A142">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ii. Jumlah yang dapat diatribusikan kepada kepentingan nonpengendali.</w:t>
            </w:r>
          </w:p>
        </w:tc>
        <w:tc>
          <w:tcPr>
            <w:tcW w:w="4560" w:type="dxa"/>
            <w:tcMar/>
          </w:tcPr>
          <w:p w:rsidRPr="00E21DE9" w:rsidR="00D82053" w:rsidP="00E21DE9" w:rsidRDefault="00D82053" w14:paraId="484BC150" w14:textId="583539FC">
            <w:pPr>
              <w:numPr>
                <w:ilvl w:val="1"/>
                <w:numId w:val="5"/>
              </w:numPr>
              <w:spacing w:line="276" w:lineRule="auto"/>
              <w:ind w:left="1219" w:hanging="425"/>
              <w:jc w:val="both"/>
              <w:rPr>
                <w:rFonts w:ascii="Bookman Old Style" w:hAnsi="Bookman Old Style" w:cs="Calibri"/>
              </w:rPr>
            </w:pPr>
            <w:r w:rsidRPr="00E21DE9">
              <w:rPr>
                <w:rFonts w:ascii="Bookman Old Style" w:hAnsi="Bookman Old Style" w:cs="Calibri"/>
              </w:rPr>
              <w:t>Jumlah yang dapat diatribusikan kepada kepentingan nonpengendali.</w:t>
            </w:r>
          </w:p>
        </w:tc>
        <w:tc>
          <w:tcPr>
            <w:tcW w:w="3662" w:type="dxa"/>
            <w:tcMar/>
          </w:tcPr>
          <w:p w:rsidRPr="00825156" w:rsidR="00D82053" w:rsidP="00080818" w:rsidRDefault="00D82053" w14:paraId="1D44013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64A3758C" w14:textId="2019FA99">
            <w:pPr>
              <w:pStyle w:val="Normal"/>
              <w:spacing w:line="276" w:lineRule="auto"/>
              <w:jc w:val="both"/>
              <w:rPr>
                <w:rFonts w:ascii="Bookman Old Style" w:hAnsi="Bookman Old Style"/>
                <w:b w:val="1"/>
                <w:bCs w:val="1"/>
              </w:rPr>
            </w:pPr>
          </w:p>
        </w:tc>
      </w:tr>
      <w:tr w:rsidRPr="004D4705" w:rsidR="00657926" w:rsidTr="61848B61" w14:paraId="203E4E93" w14:textId="77777777">
        <w:trPr>
          <w:trHeight w:val="300"/>
        </w:trPr>
        <w:tc>
          <w:tcPr>
            <w:tcW w:w="4111" w:type="dxa"/>
            <w:tcMar/>
          </w:tcPr>
          <w:p w:rsidRPr="00E21DE9" w:rsidR="00657926" w:rsidP="00E21DE9" w:rsidRDefault="006B6530" w14:paraId="29FD2925" w14:textId="3A6FA0E3">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 xml:space="preserve">b. Untuk setiap komponen ekuitas, dampak penerapan retrospektif atau penyajian kembali </w:t>
            </w:r>
            <w:r w:rsidRPr="00E21DE9">
              <w:rPr>
                <w:rFonts w:ascii="Bookman Old Style" w:hAnsi="Bookman Old Style"/>
              </w:rPr>
              <w:lastRenderedPageBreak/>
              <w:t>secara retrospektif yang diakui sesuai dengan PSAK terkait.</w:t>
            </w:r>
          </w:p>
        </w:tc>
        <w:tc>
          <w:tcPr>
            <w:tcW w:w="4560" w:type="dxa"/>
            <w:tcMar/>
          </w:tcPr>
          <w:p w:rsidRPr="00E21DE9" w:rsidR="00657926" w:rsidP="00E21DE9" w:rsidRDefault="008E0E15" w14:paraId="702028A3" w14:textId="79216BFB">
            <w:pPr>
              <w:numPr>
                <w:ilvl w:val="0"/>
                <w:numId w:val="5"/>
              </w:numPr>
              <w:spacing w:line="276" w:lineRule="auto"/>
              <w:ind w:left="794" w:hanging="426"/>
              <w:jc w:val="both"/>
              <w:rPr>
                <w:rFonts w:ascii="Bookman Old Style" w:hAnsi="Bookman Old Style" w:cs="Calibri"/>
              </w:rPr>
            </w:pPr>
            <w:r w:rsidRPr="00E21DE9">
              <w:rPr>
                <w:rFonts w:ascii="Bookman Old Style" w:hAnsi="Bookman Old Style" w:cs="Calibri"/>
              </w:rPr>
              <w:lastRenderedPageBreak/>
              <w:t xml:space="preserve">Untuk setiap komponen ekuitas, dampak penerapan retrospektif atau penyajian </w:t>
            </w:r>
            <w:r w:rsidRPr="00E21DE9">
              <w:rPr>
                <w:rFonts w:ascii="Bookman Old Style" w:hAnsi="Bookman Old Style" w:cs="Calibri"/>
              </w:rPr>
              <w:lastRenderedPageBreak/>
              <w:t xml:space="preserve">kembali secara retrospektif yang diakui sesuai dengan PSAK terkait. </w:t>
            </w:r>
          </w:p>
        </w:tc>
        <w:tc>
          <w:tcPr>
            <w:tcW w:w="3662" w:type="dxa"/>
            <w:tcMar/>
          </w:tcPr>
          <w:p w:rsidRPr="00825156" w:rsidR="00657926" w:rsidP="00080818" w:rsidRDefault="00657926" w14:paraId="1CC3D7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32A85E0C" w14:textId="3A265640">
            <w:pPr>
              <w:pStyle w:val="Normal"/>
              <w:spacing w:line="276" w:lineRule="auto"/>
              <w:jc w:val="both"/>
              <w:rPr>
                <w:rFonts w:ascii="Bookman Old Style" w:hAnsi="Bookman Old Style"/>
                <w:b w:val="1"/>
                <w:bCs w:val="1"/>
              </w:rPr>
            </w:pPr>
          </w:p>
        </w:tc>
      </w:tr>
      <w:tr w:rsidRPr="004D4705" w:rsidR="000C396D" w:rsidTr="61848B61" w14:paraId="2ED75D0B" w14:textId="77777777">
        <w:trPr>
          <w:trHeight w:val="300"/>
        </w:trPr>
        <w:tc>
          <w:tcPr>
            <w:tcW w:w="4111" w:type="dxa"/>
            <w:tcMar/>
          </w:tcPr>
          <w:p w:rsidRPr="00E21DE9" w:rsidR="000C396D" w:rsidP="00E21DE9" w:rsidRDefault="006B6530" w14:paraId="3E3A0EB3" w14:textId="0EA00C18">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c. Untuk setiap komponen ekuitas, rekonsiliasi antara jumlah tercatat pada awal dan akhir periode, secara terpisah mengungkapkan setiap perubahan yang timbul dari:</w:t>
            </w:r>
          </w:p>
        </w:tc>
        <w:tc>
          <w:tcPr>
            <w:tcW w:w="4560" w:type="dxa"/>
            <w:tcMar/>
          </w:tcPr>
          <w:p w:rsidRPr="00E21DE9" w:rsidR="000C396D" w:rsidP="00E21DE9" w:rsidRDefault="00014AA0" w14:paraId="5452CB2F" w14:textId="52588FEE">
            <w:pPr>
              <w:numPr>
                <w:ilvl w:val="0"/>
                <w:numId w:val="5"/>
              </w:numPr>
              <w:spacing w:line="276" w:lineRule="auto"/>
              <w:ind w:left="794" w:hanging="426"/>
              <w:jc w:val="both"/>
              <w:rPr>
                <w:rFonts w:ascii="Bookman Old Style" w:hAnsi="Bookman Old Style" w:cs="Calibri"/>
              </w:rPr>
            </w:pPr>
            <w:r w:rsidRPr="00E21DE9">
              <w:rPr>
                <w:rFonts w:ascii="Bookman Old Style" w:hAnsi="Bookman Old Style" w:cs="Calibri"/>
              </w:rPr>
              <w:t>Untuk setiap komponen ekuitas, rekonsiliasi antara jumlah tercatat pada awal dan akhir periode, secara terpisah mengungkapkan setiap perubahan yang timbul dari:</w:t>
            </w:r>
          </w:p>
        </w:tc>
        <w:tc>
          <w:tcPr>
            <w:tcW w:w="3662" w:type="dxa"/>
            <w:tcMar/>
          </w:tcPr>
          <w:p w:rsidRPr="00825156" w:rsidR="000C396D" w:rsidP="00080818" w:rsidRDefault="000C396D" w14:paraId="0749A1F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0546F1DD" w14:textId="6B013FB3">
            <w:pPr>
              <w:pStyle w:val="Normal"/>
              <w:spacing w:line="276" w:lineRule="auto"/>
              <w:jc w:val="both"/>
              <w:rPr>
                <w:rFonts w:ascii="Bookman Old Style" w:hAnsi="Bookman Old Style"/>
                <w:b w:val="1"/>
                <w:bCs w:val="1"/>
              </w:rPr>
            </w:pPr>
          </w:p>
        </w:tc>
      </w:tr>
      <w:tr w:rsidRPr="004D4705" w:rsidR="000C396D" w:rsidTr="61848B61" w14:paraId="7E92F3D7" w14:textId="77777777">
        <w:trPr>
          <w:trHeight w:val="300"/>
        </w:trPr>
        <w:tc>
          <w:tcPr>
            <w:tcW w:w="4111" w:type="dxa"/>
            <w:tcMar/>
          </w:tcPr>
          <w:p w:rsidRPr="00E21DE9" w:rsidR="000C396D" w:rsidP="00E21DE9" w:rsidRDefault="006B6530" w14:paraId="2991C112" w14:textId="508A9E76">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i. laba rugi;</w:t>
            </w:r>
          </w:p>
        </w:tc>
        <w:tc>
          <w:tcPr>
            <w:tcW w:w="4560" w:type="dxa"/>
            <w:tcMar/>
          </w:tcPr>
          <w:p w:rsidRPr="00E21DE9" w:rsidR="000C396D" w:rsidP="00E21DE9" w:rsidRDefault="00B022D2" w14:paraId="57A8A615" w14:textId="2DABD742">
            <w:pPr>
              <w:numPr>
                <w:ilvl w:val="1"/>
                <w:numId w:val="5"/>
              </w:numPr>
              <w:spacing w:line="276" w:lineRule="auto"/>
              <w:ind w:left="1219" w:hanging="425"/>
              <w:jc w:val="both"/>
              <w:rPr>
                <w:rFonts w:ascii="Bookman Old Style" w:hAnsi="Bookman Old Style" w:cs="Calibri"/>
              </w:rPr>
            </w:pPr>
            <w:r w:rsidRPr="00E21DE9">
              <w:rPr>
                <w:rFonts w:ascii="Bookman Old Style" w:hAnsi="Bookman Old Style" w:cs="Calibri"/>
              </w:rPr>
              <w:t>Laba rugi.</w:t>
            </w:r>
          </w:p>
        </w:tc>
        <w:tc>
          <w:tcPr>
            <w:tcW w:w="3662" w:type="dxa"/>
            <w:tcMar/>
          </w:tcPr>
          <w:p w:rsidRPr="00825156" w:rsidR="000C396D" w:rsidP="00080818" w:rsidRDefault="000C396D" w14:paraId="7BF845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288E5AD3" w14:textId="65EC0159">
            <w:pPr>
              <w:pStyle w:val="Normal"/>
              <w:spacing w:line="276" w:lineRule="auto"/>
              <w:jc w:val="both"/>
              <w:rPr>
                <w:rFonts w:ascii="Bookman Old Style" w:hAnsi="Bookman Old Style"/>
                <w:b w:val="1"/>
                <w:bCs w:val="1"/>
              </w:rPr>
            </w:pPr>
          </w:p>
        </w:tc>
      </w:tr>
      <w:tr w:rsidRPr="004D4705" w:rsidR="000C396D" w:rsidTr="61848B61" w14:paraId="22A97F42" w14:textId="77777777">
        <w:trPr>
          <w:trHeight w:val="300"/>
        </w:trPr>
        <w:tc>
          <w:tcPr>
            <w:tcW w:w="4111" w:type="dxa"/>
            <w:tcMar/>
          </w:tcPr>
          <w:p w:rsidRPr="00E21DE9" w:rsidR="000C396D" w:rsidP="00E21DE9" w:rsidRDefault="00E21DE9" w14:paraId="5A511604" w14:textId="6663442C">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ii. setiap pos penghasilan komprehensif lain;</w:t>
            </w:r>
          </w:p>
        </w:tc>
        <w:tc>
          <w:tcPr>
            <w:tcW w:w="4560" w:type="dxa"/>
            <w:tcMar/>
          </w:tcPr>
          <w:p w:rsidRPr="00E21DE9" w:rsidR="000C396D" w:rsidP="00E21DE9" w:rsidRDefault="00F14F39" w14:paraId="73C67051" w14:textId="372FFD0F">
            <w:pPr>
              <w:numPr>
                <w:ilvl w:val="1"/>
                <w:numId w:val="5"/>
              </w:numPr>
              <w:spacing w:line="276" w:lineRule="auto"/>
              <w:ind w:left="1219" w:hanging="425"/>
              <w:jc w:val="both"/>
              <w:rPr>
                <w:rFonts w:ascii="Bookman Old Style" w:hAnsi="Bookman Old Style" w:cs="Calibri"/>
              </w:rPr>
            </w:pPr>
            <w:r w:rsidRPr="00E21DE9">
              <w:rPr>
                <w:rFonts w:ascii="Bookman Old Style" w:hAnsi="Bookman Old Style" w:cs="Calibri"/>
              </w:rPr>
              <w:t>Setiap pos penghasilan komprehensif lain.</w:t>
            </w:r>
          </w:p>
        </w:tc>
        <w:tc>
          <w:tcPr>
            <w:tcW w:w="3662" w:type="dxa"/>
            <w:tcMar/>
          </w:tcPr>
          <w:p w:rsidRPr="00825156" w:rsidR="000C396D" w:rsidP="00080818" w:rsidRDefault="000C396D" w14:paraId="1ECFBD9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54150D56" w14:textId="0A218797">
            <w:pPr>
              <w:pStyle w:val="Normal"/>
              <w:spacing w:line="276" w:lineRule="auto"/>
              <w:jc w:val="both"/>
              <w:rPr>
                <w:rFonts w:ascii="Bookman Old Style" w:hAnsi="Bookman Old Style"/>
                <w:b w:val="1"/>
                <w:bCs w:val="1"/>
              </w:rPr>
            </w:pPr>
          </w:p>
        </w:tc>
      </w:tr>
      <w:tr w:rsidRPr="004D4705" w:rsidR="000C396D" w:rsidTr="61848B61" w14:paraId="0BA7790B" w14:textId="77777777">
        <w:trPr>
          <w:trHeight w:val="300"/>
        </w:trPr>
        <w:tc>
          <w:tcPr>
            <w:tcW w:w="4111" w:type="dxa"/>
            <w:tcMar/>
          </w:tcPr>
          <w:p w:rsidRPr="00E21DE9" w:rsidR="000C396D" w:rsidP="00E21DE9" w:rsidRDefault="00E21DE9" w14:paraId="1CCB1DEF" w14:textId="17C60DC8">
            <w:pPr>
              <w:tabs>
                <w:tab w:val="left" w:pos="851"/>
                <w:tab w:val="left" w:pos="1701"/>
              </w:tabs>
              <w:spacing w:line="276" w:lineRule="auto"/>
              <w:jc w:val="both"/>
              <w:outlineLvl w:val="1"/>
              <w:rPr>
                <w:rFonts w:ascii="Bookman Old Style" w:hAnsi="Bookman Old Style"/>
                <w:bCs/>
              </w:rPr>
            </w:pPr>
            <w:r w:rsidRPr="00E21DE9">
              <w:rPr>
                <w:rFonts w:ascii="Bookman Old Style" w:hAnsi="Bookman Old Style"/>
              </w:rPr>
              <w:t>iii. transaksi ekuitas yang menunjukkan secara terpisah konstribusi dari pemegang saham dan distribusi kepada pemegang saham dan perubahan kepemilikan pada entitas anak yang tidak menyebabkan hilang pengendalian.</w:t>
            </w:r>
          </w:p>
        </w:tc>
        <w:tc>
          <w:tcPr>
            <w:tcW w:w="4560" w:type="dxa"/>
            <w:tcMar/>
          </w:tcPr>
          <w:p w:rsidRPr="00E21DE9" w:rsidR="000C396D" w:rsidP="00E21DE9" w:rsidRDefault="00121F4C" w14:paraId="37481877" w14:textId="74B28F2F">
            <w:pPr>
              <w:numPr>
                <w:ilvl w:val="1"/>
                <w:numId w:val="5"/>
              </w:numPr>
              <w:spacing w:line="276" w:lineRule="auto"/>
              <w:ind w:left="1219" w:hanging="425"/>
              <w:jc w:val="both"/>
              <w:rPr>
                <w:rFonts w:ascii="Bookman Old Style" w:hAnsi="Bookman Old Style" w:cs="Calibri"/>
              </w:rPr>
            </w:pPr>
            <w:r w:rsidRPr="3BF3E50E" w:rsidR="51878341">
              <w:rPr>
                <w:rFonts w:ascii="Bookman Old Style" w:hAnsi="Bookman Old Style" w:cs="Calibri"/>
              </w:rPr>
              <w:t xml:space="preserve">Transaksi ekuitas yang menunjukkan secara terpisah </w:t>
            </w:r>
            <w:r w:rsidRPr="3BF3E50E" w:rsidR="51878341">
              <w:rPr>
                <w:rFonts w:ascii="Bookman Old Style" w:hAnsi="Bookman Old Style" w:cs="Calibri"/>
              </w:rPr>
              <w:t>kontribusi</w:t>
            </w:r>
            <w:r w:rsidRPr="3BF3E50E" w:rsidR="51878341">
              <w:rPr>
                <w:rFonts w:ascii="Bookman Old Style" w:hAnsi="Bookman Old Style" w:cs="Calibri"/>
              </w:rPr>
              <w:t xml:space="preserve"> dari pemegang saham dan distribusi kepada pemegang saham dan perubahan kepemilikan pada entitas anak yang tidak menyebabkan hilang pengendalian.</w:t>
            </w:r>
          </w:p>
        </w:tc>
        <w:tc>
          <w:tcPr>
            <w:tcW w:w="3662" w:type="dxa"/>
            <w:tcMar/>
          </w:tcPr>
          <w:p w:rsidRPr="00825156" w:rsidR="000C396D" w:rsidP="00080818" w:rsidRDefault="000C396D" w14:paraId="63DF61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61848B61" w:rsidP="61848B61" w:rsidRDefault="61848B61" w14:paraId="1DF403D1" w14:textId="2503C01B">
            <w:pPr>
              <w:pStyle w:val="Normal"/>
              <w:spacing w:line="276" w:lineRule="auto"/>
              <w:jc w:val="both"/>
              <w:rPr>
                <w:rFonts w:ascii="Bookman Old Style" w:hAnsi="Bookman Old Style"/>
                <w:b w:val="1"/>
                <w:bCs w:val="1"/>
              </w:rPr>
            </w:pPr>
          </w:p>
        </w:tc>
      </w:tr>
    </w:tbl>
    <w:p w:rsidRPr="0041574B" w:rsidR="007B4A4A" w:rsidP="0041574B" w:rsidRDefault="007B4A4A" w14:paraId="1F1D7427" w14:textId="77777777">
      <w:pPr>
        <w:spacing w:line="276" w:lineRule="auto"/>
        <w:rPr>
          <w:rFonts w:ascii="Bookman Old Style" w:hAnsi="Bookman Old Style"/>
        </w:rPr>
      </w:pPr>
    </w:p>
    <w:sectPr w:rsidRPr="0041574B" w:rsidR="007B4A4A" w:rsidSect="0041574B">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743"/>
    <w:multiLevelType w:val="hybridMultilevel"/>
    <w:tmpl w:val="281C4856"/>
    <w:lvl w:ilvl="0" w:tplc="00AAF444">
      <w:start w:val="1"/>
      <w:numFmt w:val="lowerLetter"/>
      <w:lvlText w:val="%1."/>
      <w:lvlJc w:val="left"/>
      <w:pPr>
        <w:ind w:left="1494" w:hanging="360"/>
      </w:pPr>
      <w:rPr>
        <w:rFonts w:hint="default"/>
      </w:rPr>
    </w:lvl>
    <w:lvl w:ilvl="1" w:tplc="04090011">
      <w:start w:val="1"/>
      <w:numFmt w:val="decimal"/>
      <w:lvlText w:val="%2)"/>
      <w:lvlJc w:val="left"/>
      <w:pPr>
        <w:ind w:left="2214" w:hanging="360"/>
      </w:pPr>
    </w:lvl>
    <w:lvl w:ilvl="2" w:tplc="85C6A3E8">
      <w:start w:val="1"/>
      <w:numFmt w:val="upperLetter"/>
      <w:lvlText w:val="%3."/>
      <w:lvlJc w:val="left"/>
      <w:pPr>
        <w:ind w:left="3114" w:hanging="360"/>
      </w:pPr>
      <w:rPr>
        <w:rFonts w:hint="default"/>
      </w:r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BD175F"/>
    <w:multiLevelType w:val="hybridMultilevel"/>
    <w:tmpl w:val="7E96B34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3E063D7F"/>
    <w:multiLevelType w:val="hybridMultilevel"/>
    <w:tmpl w:val="43E29120"/>
    <w:lvl w:ilvl="0" w:tplc="04C2FE5C">
      <w:start w:val="1"/>
      <w:numFmt w:val="decimal"/>
      <w:lvlText w:val="1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9C24B88"/>
    <w:multiLevelType w:val="hybridMultilevel"/>
    <w:tmpl w:val="B720F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693938">
    <w:abstractNumId w:val="3"/>
  </w:num>
  <w:num w:numId="2" w16cid:durableId="2012486136">
    <w:abstractNumId w:val="1"/>
  </w:num>
  <w:num w:numId="3" w16cid:durableId="419835262">
    <w:abstractNumId w:val="4"/>
  </w:num>
  <w:num w:numId="4" w16cid:durableId="383139667">
    <w:abstractNumId w:val="2"/>
  </w:num>
  <w:num w:numId="5" w16cid:durableId="168638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74B"/>
    <w:rsid w:val="00014AA0"/>
    <w:rsid w:val="00016F07"/>
    <w:rsid w:val="000C396D"/>
    <w:rsid w:val="000D48AB"/>
    <w:rsid w:val="00121F4C"/>
    <w:rsid w:val="001D17AE"/>
    <w:rsid w:val="00226E30"/>
    <w:rsid w:val="002A313A"/>
    <w:rsid w:val="003E6417"/>
    <w:rsid w:val="00404230"/>
    <w:rsid w:val="0041574B"/>
    <w:rsid w:val="00512512"/>
    <w:rsid w:val="00513880"/>
    <w:rsid w:val="00527282"/>
    <w:rsid w:val="00586F2B"/>
    <w:rsid w:val="0064439E"/>
    <w:rsid w:val="00657926"/>
    <w:rsid w:val="006A5AD5"/>
    <w:rsid w:val="006B6530"/>
    <w:rsid w:val="00721401"/>
    <w:rsid w:val="007B4A4A"/>
    <w:rsid w:val="00801C3C"/>
    <w:rsid w:val="0083529A"/>
    <w:rsid w:val="008358EA"/>
    <w:rsid w:val="008D3E89"/>
    <w:rsid w:val="008E0E15"/>
    <w:rsid w:val="0091319D"/>
    <w:rsid w:val="009637A8"/>
    <w:rsid w:val="009702F4"/>
    <w:rsid w:val="009A2A26"/>
    <w:rsid w:val="00A07AF9"/>
    <w:rsid w:val="00A87D8F"/>
    <w:rsid w:val="00B022D2"/>
    <w:rsid w:val="00B46A20"/>
    <w:rsid w:val="00B52CAC"/>
    <w:rsid w:val="00C31628"/>
    <w:rsid w:val="00D82053"/>
    <w:rsid w:val="00E21DE9"/>
    <w:rsid w:val="00E22A00"/>
    <w:rsid w:val="00EB3A43"/>
    <w:rsid w:val="00EC733D"/>
    <w:rsid w:val="00F14F39"/>
    <w:rsid w:val="00F23B73"/>
    <w:rsid w:val="00F41B80"/>
    <w:rsid w:val="16339344"/>
    <w:rsid w:val="3BF3E50E"/>
    <w:rsid w:val="4EBE5102"/>
    <w:rsid w:val="51878341"/>
    <w:rsid w:val="61848B6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63A7"/>
  <w15:chartTrackingRefBased/>
  <w15:docId w15:val="{5CD4D5E7-8505-444D-A322-93B19B94E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574B"/>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41574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574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57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57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57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57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57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57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574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1574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1574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1574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1574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1574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1574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1574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1574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1574B"/>
    <w:rPr>
      <w:rFonts w:eastAsiaTheme="majorEastAsia" w:cstheme="majorBidi"/>
      <w:color w:val="272727" w:themeColor="text1" w:themeTint="D8"/>
    </w:rPr>
  </w:style>
  <w:style w:type="paragraph" w:styleId="Title">
    <w:name w:val="Title"/>
    <w:basedOn w:val="Normal"/>
    <w:next w:val="Normal"/>
    <w:link w:val="TitleChar"/>
    <w:uiPriority w:val="10"/>
    <w:qFormat/>
    <w:rsid w:val="0041574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1574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1574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157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574B"/>
    <w:pPr>
      <w:spacing w:before="160"/>
      <w:jc w:val="center"/>
    </w:pPr>
    <w:rPr>
      <w:i/>
      <w:iCs/>
      <w:color w:val="404040" w:themeColor="text1" w:themeTint="BF"/>
    </w:rPr>
  </w:style>
  <w:style w:type="character" w:styleId="QuoteChar" w:customStyle="1">
    <w:name w:val="Quote Char"/>
    <w:basedOn w:val="DefaultParagraphFont"/>
    <w:link w:val="Quote"/>
    <w:uiPriority w:val="29"/>
    <w:rsid w:val="0041574B"/>
    <w:rPr>
      <w:i/>
      <w:iCs/>
      <w:color w:val="404040" w:themeColor="text1" w:themeTint="BF"/>
    </w:rPr>
  </w:style>
  <w:style w:type="paragraph" w:styleId="ListParagraph">
    <w:name w:val="List Paragraph"/>
    <w:basedOn w:val="Normal"/>
    <w:uiPriority w:val="34"/>
    <w:qFormat/>
    <w:rsid w:val="0041574B"/>
    <w:pPr>
      <w:ind w:left="720"/>
      <w:contextualSpacing/>
    </w:pPr>
  </w:style>
  <w:style w:type="character" w:styleId="IntenseEmphasis">
    <w:name w:val="Intense Emphasis"/>
    <w:basedOn w:val="DefaultParagraphFont"/>
    <w:uiPriority w:val="21"/>
    <w:qFormat/>
    <w:rsid w:val="0041574B"/>
    <w:rPr>
      <w:i/>
      <w:iCs/>
      <w:color w:val="0F4761" w:themeColor="accent1" w:themeShade="BF"/>
    </w:rPr>
  </w:style>
  <w:style w:type="paragraph" w:styleId="IntenseQuote">
    <w:name w:val="Intense Quote"/>
    <w:basedOn w:val="Normal"/>
    <w:next w:val="Normal"/>
    <w:link w:val="IntenseQuoteChar"/>
    <w:uiPriority w:val="30"/>
    <w:qFormat/>
    <w:rsid w:val="0041574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1574B"/>
    <w:rPr>
      <w:i/>
      <w:iCs/>
      <w:color w:val="0F4761" w:themeColor="accent1" w:themeShade="BF"/>
    </w:rPr>
  </w:style>
  <w:style w:type="character" w:styleId="IntenseReference">
    <w:name w:val="Intense Reference"/>
    <w:basedOn w:val="DefaultParagraphFont"/>
    <w:uiPriority w:val="32"/>
    <w:qFormat/>
    <w:rsid w:val="0041574B"/>
    <w:rPr>
      <w:b/>
      <w:bCs/>
      <w:smallCaps/>
      <w:color w:val="0F4761" w:themeColor="accent1" w:themeShade="BF"/>
      <w:spacing w:val="5"/>
    </w:rPr>
  </w:style>
  <w:style w:type="table" w:styleId="TableGrid">
    <w:name w:val="Table Grid"/>
    <w:basedOn w:val="TableNormal"/>
    <w:rsid w:val="0041574B"/>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0F39E-578C-4326-9603-9F9EE16C3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799CA-4E80-4801-AE3B-780984C96CA5}">
  <ds:schemaRefs>
    <ds:schemaRef ds:uri="http://schemas.microsoft.com/office/2006/metadata/properties"/>
    <ds:schemaRef ds:uri="http://schemas.microsoft.com/office/infopath/2007/PartnerControls"/>
    <ds:schemaRef ds:uri="63028529-2f16-4d20-af69-bef8766d716b"/>
  </ds:schemaRefs>
</ds:datastoreItem>
</file>

<file path=customXml/itemProps3.xml><?xml version="1.0" encoding="utf-8"?>
<ds:datastoreItem xmlns:ds="http://schemas.openxmlformats.org/officeDocument/2006/customXml" ds:itemID="{8C0766FC-819A-4FC8-98FA-1BA0E33FD5F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34</revision>
  <dcterms:created xsi:type="dcterms:W3CDTF">2026-02-22T10:41:00.0000000Z</dcterms:created>
  <dcterms:modified xsi:type="dcterms:W3CDTF">2026-04-12T11:45:22.1700664Z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